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4.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include</w:t>
      </w:r>
      <w:r>
        <w:t xml:space="preserve"> </w:t>
      </w:r>
      <w:r>
        <w:t xml:space="preserve">an</w:t>
      </w:r>
      <w:r>
        <w:t xml:space="preserve"> </w:t>
      </w:r>
      <w:r>
        <w:t xml:space="preserve">abstract</w:t>
      </w:r>
      <w:r>
        <w:t xml:space="preserve"> </w:t>
      </w:r>
      <w:r>
        <w:t xml:space="preserve">cell</w:t>
      </w:r>
      <w:r>
        <w:t xml:space="preserve"> </w:t>
      </w:r>
      <w:r>
        <w:t xml:space="preserve">at</w:t>
      </w:r>
      <w:r>
        <w:t xml:space="preserve"> </w:t>
      </w:r>
      <w:r>
        <w:t xml:space="preserve">the</w:t>
      </w:r>
      <w:r>
        <w:t xml:space="preserve"> </w:t>
      </w:r>
      <w:r>
        <w:t xml:space="preserve">beginning.</w:t>
      </w:r>
      <w:r>
        <w:t xml:space="preserve"> </w:t>
      </w:r>
      <w:r>
        <w:t xml:space="preserve">If</w:t>
      </w:r>
      <w:r>
        <w:t xml:space="preserve"> </w:t>
      </w:r>
      <w:r>
        <w:t xml:space="preserve">you</w:t>
      </w:r>
      <w:r>
        <w:t xml:space="preserve"> </w:t>
      </w:r>
      <w:r>
        <w:t xml:space="preserve">inspect</w:t>
      </w:r>
      <w:r>
        <w:t xml:space="preserve"> </w:t>
      </w:r>
      <w:r>
        <w:t xml:space="preserve">the</w:t>
      </w:r>
      <w:r>
        <w:t xml:space="preserve"> </w:t>
      </w:r>
      <w:r>
        <w:t xml:space="preserve">metadata</w:t>
      </w:r>
      <w:r>
        <w:t xml:space="preserve"> </w:t>
      </w:r>
      <w:r>
        <w:t xml:space="preserve">for</w:t>
      </w:r>
      <w:r>
        <w:t xml:space="preserve"> </w:t>
      </w:r>
      <w:r>
        <w:t xml:space="preserve">this</w:t>
      </w:r>
      <w:r>
        <w:t xml:space="preserve"> </w:t>
      </w:r>
      <w:r>
        <w:t xml:space="preserve">cell,</w:t>
      </w:r>
      <w:r>
        <w:t xml:space="preserve"> </w:t>
      </w:r>
      <w:r>
        <w:t xml:space="preserve">you</w:t>
      </w:r>
      <w:r>
        <w:t xml:space="preserve"> </w:t>
      </w:r>
      <w:r>
        <w:t xml:space="preserve">will</w:t>
      </w:r>
      <w:r>
        <w:t xml:space="preserve"> </w:t>
      </w:r>
      <w:r>
        <w:t xml:space="preserve">find</w:t>
      </w:r>
      <w:r>
        <w:t xml:space="preserve"> </w:t>
      </w:r>
      <w:r>
        <w:rPr>
          <w:rStyle w:val="VerbatimChar"/>
        </w:rPr>
        <w:t xml:space="preserve">"part": "abstract"</w:t>
      </w:r>
      <w:r>
        <w:t xml:space="preserve">.</w:t>
      </w:r>
      <w:r>
        <w:t xml:space="preserve"> </w:t>
      </w:r>
      <w:r>
        <w:t xml:space="preserve">This</w:t>
      </w:r>
      <w:r>
        <w:t xml:space="preserve"> </w:t>
      </w:r>
      <w:r>
        <w:t xml:space="preserve">metadata</w:t>
      </w:r>
      <w:r>
        <w:t xml:space="preserve"> </w:t>
      </w:r>
      <w:r>
        <w:t xml:space="preserve">is</w:t>
      </w:r>
      <w:r>
        <w:t xml:space="preserve"> </w:t>
      </w:r>
      <w:r>
        <w:t xml:space="preserve">required</w:t>
      </w:r>
      <w:r>
        <w:t xml:space="preserve"> </w:t>
      </w:r>
      <w:r>
        <w:t xml:space="preserve">for</w:t>
      </w:r>
      <w:r>
        <w:t xml:space="preserve"> </w:t>
      </w:r>
      <w:r>
        <w:t xml:space="preserve">recognizing</w:t>
      </w:r>
      <w:r>
        <w:t xml:space="preserve"> </w:t>
      </w:r>
      <w:r>
        <w:t xml:space="preserve">the</w:t>
      </w:r>
      <w:r>
        <w:t xml:space="preserve"> </w:t>
      </w:r>
      <w:r>
        <w:t xml:space="preserve">content</w:t>
      </w:r>
      <w:r>
        <w:t xml:space="preserve"> </w:t>
      </w:r>
      <w:r>
        <w:t xml:space="preserve">of</w:t>
      </w:r>
      <w:r>
        <w:t xml:space="preserve"> </w:t>
      </w:r>
      <w:r>
        <w:t xml:space="preserve">this</w:t>
      </w:r>
      <w:r>
        <w:t xml:space="preserve"> </w:t>
      </w:r>
      <w:r>
        <w:t xml:space="preserve">cell</w:t>
      </w:r>
      <w:r>
        <w:t xml:space="preserve"> </w:t>
      </w:r>
      <w:r>
        <w:t xml:space="preserve">as</w:t>
      </w:r>
      <w:r>
        <w:t xml:space="preserve"> </w:t>
      </w:r>
      <w:r>
        <w:t xml:space="preserve">the</w:t>
      </w:r>
      <w:r>
        <w:t xml:space="preserve"> </w:t>
      </w:r>
      <w:r>
        <w:t xml:space="preserve">abstract.</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42" w:name="introduction"/>
    <w:p>
      <w:pPr>
        <w:pStyle w:val="Heading2"/>
      </w:pPr>
      <w:r>
        <w:t xml:space="preserve">Introduction</w:t>
      </w:r>
    </w:p>
    <w:p>
      <w:pPr>
        <w:pStyle w:val="BlockText"/>
      </w:pPr>
      <w:r>
        <w:t xml:space="preserve">The content of your notebook may be broken into any number of markdown or code cells. Markdown cells use MyST markdown and support</w:t>
      </w:r>
      <w:r>
        <w:t xml:space="preserve"> </w:t>
      </w:r>
      <w:hyperlink r:id="rId20">
        <w:r>
          <w:rPr>
            <w:rStyle w:val="Hyperlink"/>
          </w:rPr>
          <w:t xml:space="preserve">standard markdown typography</w:t>
        </w:r>
      </w:hyperlink>
      <w:r>
        <w:t xml:space="preserve"> </w:t>
      </w:r>
      <w:r>
        <w:t xml:space="preserve">and many</w:t>
      </w:r>
      <w:r>
        <w:t xml:space="preserve"> </w:t>
      </w:r>
      <w:hyperlink r:id="rId21">
        <w:r>
          <w:rPr>
            <w:rStyle w:val="Hyperlink"/>
          </w:rPr>
          <w:t xml:space="preserve">directives and roles</w:t>
        </w:r>
      </w:hyperlink>
      <w:r>
        <w:t xml:space="preserve"> </w:t>
      </w:r>
      <w:r>
        <w:t xml:space="preserve">for figures, tables, equations, etc.</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 the</w:t>
      </w:r>
      <w:r>
        <w:t xml:space="preserve"> </w:t>
      </w:r>
      <w:hyperlink r:id="rId22">
        <w:r>
          <w:rPr>
            <w:rStyle w:val="Hyperlink"/>
          </w:rPr>
          <w:t xml:space="preserve">figure directive</w:t>
        </w:r>
      </w:hyperlink>
      <w:r>
        <w:t xml:space="preserve">. They may refer to images saved in your</w:t>
      </w:r>
      <w:r>
        <w:t xml:space="preserve"> </w:t>
      </w:r>
      <w:r>
        <w:rPr>
          <w:rStyle w:val="VerbatimChar"/>
        </w:rPr>
        <w:t xml:space="preserve">images/</w:t>
      </w:r>
      <w:r>
        <w:t xml:space="preserve"> </w:t>
      </w:r>
      <w:r>
        <w:t xml:space="preserve">folder, images from the web, or notebook cell outputs</w:t>
      </w:r>
      <w:r>
        <w:t xml:space="preserve"> </w:t>
      </w:r>
      <w:hyperlink r:id="rId23">
        <w:r>
          <w:rPr>
            <w:rStyle w:val="Hyperlink"/>
          </w:rPr>
          <w:t xml:space="preserve">referenced by label</w:t>
        </w:r>
      </w:hyperlink>
      <w:r>
        <w:t xml:space="preserve">. The</w:t>
      </w:r>
      <w:r>
        <w:t xml:space="preserve"> </w:t>
      </w:r>
      <w:r>
        <w:rPr>
          <w:rStyle w:val="VerbatimChar"/>
        </w:rPr>
        <w:t xml:space="preserve">:name:</w:t>
      </w:r>
      <w:r>
        <w:t xml:space="preserve"> </w:t>
      </w:r>
      <w:r>
        <w:t xml:space="preserve">is used to reference the figure in your text; a reference to the following figure is found in the paragraph above. The figure caption is given as the body of this directive.</w:t>
      </w:r>
    </w:p>
    <w:tbl>
      <w:tblPr>
        <w:tblStyle w:val="Table"/>
        <w:tblW w:type="pct" w:w="5000"/>
        <w:tblLook w:firstRow="0" w:lastRow="0" w:firstColumn="0" w:lastColumn="0" w:noHBand="0" w:noVBand="0" w:val="0000"/>
        <w:jc w:val="start"/>
      </w:tblPr>
      <w:tblGrid>
        <w:gridCol w:w="7920"/>
      </w:tblGrid>
      <w:tr>
        <w:tc>
          <w:tcPr/>
          <w:bookmarkStart w:id="28" w:name="fig-map"/>
          <w:p>
            <w:pPr>
              <w:jc w:val="center"/>
            </w:pPr>
            <w:r>
              <w:drawing>
                <wp:inline>
                  <wp:extent cx="5334000" cy="2369740"/>
                  <wp:effectExtent b="0" l="0" r="0" t="0"/>
                  <wp:docPr descr="" title="" id="25" name="Picture"/>
                  <a:graphic>
                    <a:graphicData uri="http://schemas.openxmlformats.org/drawingml/2006/picture">
                      <pic:pic>
                        <pic:nvPicPr>
                          <pic:cNvPr descr="images/la-palma-map.png" id="26" name="Picture"/>
                          <pic:cNvPicPr>
                            <a:picLocks noChangeArrowheads="1" noChangeAspect="1"/>
                          </pic:cNvPicPr>
                        </pic:nvPicPr>
                        <pic:blipFill>
                          <a:blip r:embed="rId24"/>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7">
              <w:r>
                <w:rPr>
                  <w:rStyle w:val="Hyperlink"/>
                </w:rPr>
                <w:t xml:space="preserve">NordNordWest</w:t>
              </w:r>
            </w:hyperlink>
          </w:p>
          <w:bookmarkEnd w:id="28"/>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4"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Simple tables may be created using the</w:t>
      </w:r>
      <w:r>
        <w:t xml:space="preserve"> </w:t>
      </w:r>
      <w:hyperlink r:id="rId29">
        <w:r>
          <w:rPr>
            <w:rStyle w:val="Hyperlink"/>
          </w:rPr>
          <w:t xml:space="preserve">list-table directive</w:t>
        </w:r>
      </w:hyperlink>
      <w:r>
        <w:t xml:space="preserve">. Similar to figures, tables may be referenced in the text by their</w:t>
      </w:r>
      <w:r>
        <w:t xml:space="preserve"> </w:t>
      </w:r>
      <w:r>
        <w:rPr>
          <w:rStyle w:val="VerbatimChar"/>
        </w:rPr>
        <w:t xml:space="preserve">name</w:t>
      </w:r>
      <w:r>
        <w:t xml:space="preserve">. The caption for this table is the first line of the directive.</w:t>
      </w:r>
    </w:p>
    <w:bookmarkStart w:id="30"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30"/>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 the</w:t>
      </w:r>
      <w:r>
        <w:t xml:space="preserve"> </w:t>
      </w:r>
      <w:hyperlink r:id="rId31">
        <w:r>
          <w:rPr>
            <w:rStyle w:val="Hyperlink"/>
          </w:rPr>
          <w:t xml:space="preserve">math directive or in line</w:t>
        </w:r>
      </w:hyperlink>
      <w:r>
        <w:t xml:space="preserve">. Equations defined with the math directive may be reference in the text by label.</w:t>
      </w:r>
    </w:p>
    <w:p>
      <w:pPr>
        <w:pStyle w:val="FirstParagraph"/>
      </w:pPr>
      <w:bookmarkStart w:id="32"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2"/>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3"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3"/>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4"/>
    <w:bookmarkStart w:id="41" w:name="magma-reservoirs"/>
    <w:p>
      <w:pPr>
        <w:pStyle w:val="Heading3"/>
      </w:pPr>
      <w:r>
        <w:t xml:space="preserve">Magma Reservoirs</w:t>
      </w:r>
    </w:p>
    <w:p>
      <w:pPr>
        <w:pStyle w:val="BlockText"/>
      </w:pPr>
      <w:r>
        <w:t xml:space="preserve">You may</w:t>
      </w:r>
      <w:r>
        <w:t xml:space="preserve"> </w:t>
      </w:r>
      <w:hyperlink r:id="rId35">
        <w:r>
          <w:rPr>
            <w:rStyle w:val="Hyperlink"/>
          </w:rPr>
          <w:t xml:space="preserve">add citations two ways</w:t>
        </w:r>
      </w:hyperlink>
      <w:r>
        <w:t xml:space="preserve">. First, you may simply insert a markdown link link to a DOI like so:</w:t>
      </w:r>
      <w:r>
        <w:t xml:space="preserve"> </w:t>
      </w:r>
      <w:hyperlink r:id="rId36"/>
      <w:r>
        <w:t xml:space="preserve">. No additional bibliographic information is required for this approach; the reference will be looked up by DOI and added implicitly to the references. Alternatively, you may provide the bibliography directly as</w:t>
      </w:r>
      <w:r>
        <w:t xml:space="preserve"> </w:t>
      </w:r>
      <w:r>
        <w:rPr>
          <w:rStyle w:val="VerbatimChar"/>
        </w:rPr>
        <w:t xml:space="preserve">references.bib</w:t>
      </w:r>
      <w:r>
        <w:t xml:space="preserve"> </w:t>
      </w:r>
      <w:r>
        <w:t xml:space="preserve">bibtex file, then embed the citation by bibtex key in your text using the</w:t>
      </w:r>
      <w:r>
        <w:t xml:space="preserve"> </w:t>
      </w:r>
      <w:r>
        <w:rPr>
          <w:rStyle w:val="VerbatimChar"/>
        </w:rPr>
        <w:t xml:space="preserve">cite:p</w:t>
      </w:r>
      <w:r>
        <w:t xml:space="preserve"> </w:t>
      </w:r>
      <w:r>
        <w:t xml:space="preserve">or</w:t>
      </w:r>
      <w:r>
        <w:t xml:space="preserve"> </w:t>
      </w:r>
      <w:r>
        <w:rPr>
          <w:rStyle w:val="VerbatimChar"/>
        </w:rPr>
        <w:t xml:space="preserve">cite:t</w:t>
      </w:r>
      <w:r>
        <w:t xml:space="preserve"> </w:t>
      </w:r>
      <w:r>
        <w:t xml:space="preserve">for parenthetical or textual citations, respectively. The following paragraph provides an example of this. A single paper may combine both DOI and bibtex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40" w:name="fig-reservoirs"/>
          <w:p>
            <w:pPr>
              <w:jc w:val="center"/>
            </w:pPr>
            <w:r>
              <w:drawing>
                <wp:inline>
                  <wp:extent cx="5334000" cy="2240280"/>
                  <wp:effectExtent b="0" l="0" r="0" t="0"/>
                  <wp:docPr descr="" title="" id="38" name="Picture"/>
                  <a:graphic>
                    <a:graphicData uri="http://schemas.openxmlformats.org/drawingml/2006/picture">
                      <pic:pic>
                        <pic:nvPicPr>
                          <pic:cNvPr descr="images/reservoirs.png" id="39" name="Picture"/>
                          <pic:cNvPicPr>
                            <a:picLocks noChangeArrowheads="1" noChangeAspect="1"/>
                          </pic:cNvPicPr>
                        </pic:nvPicPr>
                        <pic:blipFill>
                          <a:blip r:embed="rId37"/>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40"/>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41"/>
    <w:bookmarkEnd w:id="42"/>
    <w:bookmarkStart w:id="45"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3">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End w:id="45"/>
    <w:bookmarkStart w:id="52" w:name="results"/>
    <w:p>
      <w:pPr>
        <w:pStyle w:val="Heading2"/>
      </w:pPr>
      <w:r>
        <w:t xml:space="preserve">Results</w:t>
      </w:r>
    </w:p>
    <w:p>
      <w:pPr>
        <w:pStyle w:val="FirstParagraph"/>
      </w:pPr>
      <w:r>
        <w:t xml:space="preserve">The dataset was loaded into a Jupyter notebook</w:t>
      </w:r>
      <w:r>
        <w:t xml:space="preserve"> </w:t>
      </w:r>
      <w:hyperlink r:id="rId46">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50" w:name="fig-timeline"/>
          <w:p>
            <w:pPr>
              <w:jc w:val="center"/>
            </w:pPr>
            <w:r>
              <w:drawing>
                <wp:inline>
                  <wp:extent cx="5334000" cy="2671053"/>
                  <wp:effectExtent b="0" l="0" r="0" t="0"/>
                  <wp:docPr descr="" title="" id="48" name="Picture"/>
                  <a:graphic>
                    <a:graphicData uri="http://schemas.openxmlformats.org/drawingml/2006/picture">
                      <pic:pic>
                        <pic:nvPicPr>
                          <pic:cNvPr descr="article_files/figure-docx/fig-timeline-output-1.png" id="49" name="Picture"/>
                          <pic:cNvPicPr>
                            <a:picLocks noChangeArrowheads="1" noChangeAspect="1"/>
                          </pic:cNvPicPr>
                        </pic:nvPicPr>
                        <pic:blipFill>
                          <a:blip r:embed="rId47"/>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50"/>
        </w:tc>
      </w:tr>
    </w:tbl>
    <w:p>
      <w:pPr>
        <w:pStyle w:val="BlockText"/>
      </w:pPr>
      <w:r>
        <w:t xml:space="preserve">This figure uses cell output from the</w:t>
      </w:r>
      <w:r>
        <w:t xml:space="preserve"> </w:t>
      </w:r>
      <w:hyperlink r:id="rId46">
        <w:r>
          <w:rPr>
            <w:rStyle w:val="Hyperlink"/>
          </w:rPr>
          <w:t xml:space="preserve">visualization notebook</w:t>
        </w:r>
      </w:hyperlink>
      <w:r>
        <w:t xml:space="preserve">. The first line of the</w:t>
      </w:r>
      <w:r>
        <w:t xml:space="preserve"> </w:t>
      </w:r>
      <w:hyperlink r:id="rId51">
        <w:r>
          <w:rPr>
            <w:rStyle w:val="Hyperlink"/>
          </w:rPr>
          <w:t xml:space="preserve">cell</w:t>
        </w:r>
      </w:hyperlink>
      <w:r>
        <w:t xml:space="preserve"> </w:t>
      </w:r>
      <w:r>
        <w:t xml:space="preserve">is</w:t>
      </w:r>
      <w:r>
        <w:t xml:space="preserve"> </w:t>
      </w:r>
      <w:r>
        <w:rPr>
          <w:rStyle w:val="VerbatimChar"/>
        </w:rPr>
        <w:t xml:space="preserve">#| label: fig-timeline</w:t>
      </w:r>
      <w:r>
        <w:t xml:space="preserve">. Referencing that label pulls in the output of the cell as a figure.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2"/>
    <w:bookmarkStart w:id="53"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3"/>
    <w:bookmarkStart w:id="57"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Start w:id="56" w:name="refs"/>
    <w:bookmarkStart w:id="55"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4">
        <w:r>
          <w:rPr>
            <w:rStyle w:val="Hyperlink"/>
          </w:rPr>
          <w:t xml:space="preserve">https://doi.org/10.1186/s13617-019-0085-5</w:t>
        </w:r>
      </w:hyperlink>
      <w:r>
        <w:t xml:space="preserve">.</w:t>
      </w:r>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2023-04-28T22:09:07Z</dcterms:created>
  <dcterms:modified xsi:type="dcterms:W3CDTF">2023-04-28T22:09:07Z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include an abstract cell at the beginning. If you inspect the metadata for this cell, you will find "part": "abstract". This metadata is required for recognizing the content of this cell as the abstract.The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